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0" w:after="100"/>
      </w:pPr>
      <w:r>
        <w:rPr>
          <w:rFonts w:ascii="Arial" w:hAnsi="Arial"/>
          <w:b/>
          <w:i w:val="0"/>
          <w:color w:val="163A3D"/>
          <w:sz w:val="54"/>
        </w:rPr>
        <w:t>PTV-3-Arbeitsvorlage</w:t>
      </w:r>
    </w:p>
    <w:p>
      <w:pPr>
        <w:spacing w:after="360"/>
      </w:pPr>
      <w:r>
        <w:rPr>
          <w:rFonts w:ascii="Arial" w:hAnsi="Arial"/>
          <w:b/>
          <w:i w:val="0"/>
          <w:color w:val="0E7C78"/>
          <w:sz w:val="27"/>
        </w:rPr>
        <w:t>Struktur für Erst-, Umwandlungs- und Fortführungsberichte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5"/>
            <w:vAlign w:val="center"/>
            <w:shd w:fill="E7F3F1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163A3D"/>
                <w:sz w:val="21"/>
              </w:rPr>
              <w:t>Wichtiger Hinweis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213336"/>
                <w:sz w:val="19"/>
              </w:rPr>
              <w:t>Diese Clara-Arbeitshilfe ist kein offizielles KBV-Formblatt und kein fertiger Musterfall. Nutzen Sie die Struktur als Schreibgerüst, prüfen Sie die aktuelle PTV-3-Fassung und formulieren Sie jeden Bericht individuell. Diagnose, Indikation, Fallkonzeption, Prognose und Freigabe bleiben Ihre fachliche Verantwortung.</w:t>
            </w:r>
          </w:p>
        </w:tc>
        <w:trPr>
          <w:tblHeader/>
        </w:trPr>
      </w:tr>
    </w:tbl>
    <w:p>
      <w:pPr>
        <w:pStyle w:val="Heading1"/>
      </w:pPr>
      <w:r>
        <w:t>Arbeitsrahmen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7030"/>
      </w:tblGrid>
      <w:tr>
        <w:trPr>
          <w:tblHeader w:val="true"/>
        </w:trPr>
        <w:tc>
          <w:tcPr>
            <w:tcW w:type="dxa" w:w="2835"/>
            <w:shd w:fill="163A3D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/>
                <w:b/>
                <w:i w:val="0"/>
                <w:color w:val="FFFFFF"/>
                <w:sz w:val="19"/>
              </w:rPr>
              <w:t>Feld</w:t>
            </w:r>
          </w:p>
        </w:tc>
        <w:tc>
          <w:tcPr>
            <w:tcW w:type="dxa" w:w="7030"/>
            <w:shd w:fill="163A3D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Arial" w:hAnsi="Arial"/>
                <w:b/>
                <w:i w:val="0"/>
                <w:color w:val="FFFFFF"/>
                <w:sz w:val="19"/>
              </w:rPr>
              <w:t>Ihre Angaben</w:t>
            </w:r>
          </w:p>
        </w:tc>
      </w:tr>
      <w:tr>
        <w:tc>
          <w:tcPr>
            <w:tcW w:type="dxa" w:w="283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  <w:shd w:fill="F7F2E8"/>
          </w:tcPr>
          <w:p>
            <w:r>
              <w:rPr>
                <w:rFonts w:ascii="Arial" w:hAnsi="Arial"/>
                <w:b/>
                <w:i w:val="0"/>
                <w:color w:val="163A3D"/>
                <w:sz w:val="19"/>
              </w:rPr>
              <w:t>Pseudonym / Chiffre</w:t>
            </w:r>
          </w:p>
        </w:tc>
        <w:tc>
          <w:tcPr>
            <w:tcW w:type="dxa" w:w="7030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r>
              <w:rPr>
                <w:rFonts w:ascii="Arial" w:hAnsi="Arial"/>
                <w:b w:val="0"/>
                <w:i w:val="0"/>
                <w:color w:val="213336"/>
                <w:sz w:val="19"/>
              </w:rPr>
              <w:br/>
            </w:r>
          </w:p>
        </w:tc>
      </w:tr>
      <w:tr>
        <w:tc>
          <w:tcPr>
            <w:tcW w:type="dxa" w:w="283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  <w:shd w:fill="F7F2E8"/>
          </w:tcPr>
          <w:p>
            <w:r>
              <w:rPr>
                <w:rFonts w:ascii="Arial" w:hAnsi="Arial"/>
                <w:b/>
                <w:i w:val="0"/>
                <w:color w:val="163A3D"/>
                <w:sz w:val="19"/>
              </w:rPr>
              <w:t>Antragsart</w:t>
            </w:r>
          </w:p>
        </w:tc>
        <w:tc>
          <w:tcPr>
            <w:tcW w:type="dxa" w:w="7030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r>
              <w:rPr>
                <w:rFonts w:ascii="Arial" w:hAnsi="Arial"/>
                <w:b w:val="0"/>
                <w:i w:val="0"/>
                <w:color w:val="213336"/>
                <w:sz w:val="19"/>
              </w:rPr>
              <w:t>[ ] Erstantrag   [ ] Umwandlung   [ ] Fortführung</w:t>
            </w:r>
          </w:p>
        </w:tc>
      </w:tr>
      <w:tr>
        <w:tc>
          <w:tcPr>
            <w:tcW w:type="dxa" w:w="283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  <w:shd w:fill="F7F2E8"/>
          </w:tcPr>
          <w:p>
            <w:r>
              <w:rPr>
                <w:rFonts w:ascii="Arial" w:hAnsi="Arial"/>
                <w:b/>
                <w:i w:val="0"/>
                <w:color w:val="163A3D"/>
                <w:sz w:val="19"/>
              </w:rPr>
              <w:t>Verfahren</w:t>
            </w:r>
          </w:p>
        </w:tc>
        <w:tc>
          <w:tcPr>
            <w:tcW w:type="dxa" w:w="7030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r>
              <w:rPr>
                <w:rFonts w:ascii="Arial" w:hAnsi="Arial"/>
                <w:b w:val="0"/>
                <w:i w:val="0"/>
                <w:color w:val="213336"/>
                <w:sz w:val="19"/>
              </w:rPr>
              <w:t>[ ] VT   [ ] TP   [ ] AP   [ ] ST</w:t>
            </w:r>
          </w:p>
        </w:tc>
      </w:tr>
      <w:tr>
        <w:tc>
          <w:tcPr>
            <w:tcW w:type="dxa" w:w="283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  <w:shd w:fill="F7F2E8"/>
          </w:tcPr>
          <w:p>
            <w:r>
              <w:rPr>
                <w:rFonts w:ascii="Arial" w:hAnsi="Arial"/>
                <w:b/>
                <w:i w:val="0"/>
                <w:color w:val="163A3D"/>
                <w:sz w:val="19"/>
              </w:rPr>
              <w:t>Setting</w:t>
            </w:r>
          </w:p>
        </w:tc>
        <w:tc>
          <w:tcPr>
            <w:tcW w:type="dxa" w:w="7030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r>
              <w:rPr>
                <w:rFonts w:ascii="Arial" w:hAnsi="Arial"/>
                <w:b w:val="0"/>
                <w:i w:val="0"/>
                <w:color w:val="213336"/>
                <w:sz w:val="19"/>
              </w:rPr>
              <w:t>[ ] Einzel   [ ] Gruppe   [ ] Kombination</w:t>
            </w:r>
          </w:p>
        </w:tc>
      </w:tr>
      <w:tr>
        <w:tc>
          <w:tcPr>
            <w:tcW w:type="dxa" w:w="283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  <w:shd w:fill="F7F2E8"/>
          </w:tcPr>
          <w:p>
            <w:r>
              <w:rPr>
                <w:rFonts w:ascii="Arial" w:hAnsi="Arial"/>
                <w:b/>
                <w:i w:val="0"/>
                <w:color w:val="163A3D"/>
                <w:sz w:val="19"/>
              </w:rPr>
              <w:t>Altersgruppe</w:t>
            </w:r>
          </w:p>
        </w:tc>
        <w:tc>
          <w:tcPr>
            <w:tcW w:type="dxa" w:w="7030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r>
              <w:rPr>
                <w:rFonts w:ascii="Arial" w:hAnsi="Arial"/>
                <w:b w:val="0"/>
                <w:i w:val="0"/>
                <w:color w:val="213336"/>
                <w:sz w:val="19"/>
              </w:rPr>
              <w:t>[ ] Erwachsene   [ ] Kinder und Jugendliche</w:t>
            </w:r>
          </w:p>
        </w:tc>
      </w:tr>
      <w:tr>
        <w:tc>
          <w:tcPr>
            <w:tcW w:type="dxa" w:w="283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  <w:shd w:fill="F7F2E8"/>
          </w:tcPr>
          <w:p>
            <w:r>
              <w:rPr>
                <w:rFonts w:ascii="Arial" w:hAnsi="Arial"/>
                <w:b/>
                <w:i w:val="0"/>
                <w:color w:val="163A3D"/>
                <w:sz w:val="19"/>
              </w:rPr>
              <w:t>Beantragter Umfang / Frequenz</w:t>
            </w:r>
          </w:p>
        </w:tc>
        <w:tc>
          <w:tcPr>
            <w:tcW w:type="dxa" w:w="7030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r>
              <w:rPr>
                <w:rFonts w:ascii="Arial" w:hAnsi="Arial"/>
                <w:b w:val="0"/>
                <w:i w:val="0"/>
                <w:color w:val="213336"/>
                <w:sz w:val="19"/>
              </w:rPr>
              <w:br/>
            </w:r>
          </w:p>
        </w:tc>
      </w:tr>
    </w:tbl>
    <w:p>
      <w:r>
        <w:t>Arbeitslogik: Befund und Verlauf -&gt; Fallkonzeption -&gt; Diagnose -&gt; Ziele -&gt; Methoden -&gt; beantragter Umfang -&gt; begründete Prognose. Nur fallrelevante Angaben übernehmen.</w:t>
      </w:r>
    </w:p>
    <w:p>
      <w:pPr>
        <w:pStyle w:val="Heading1"/>
        <w:pageBreakBefore w:val="0"/>
      </w:pPr>
      <w:r>
        <w:t>1. Relevante soziodemographische Daten</w:t>
      </w:r>
    </w:p>
    <w:p>
      <w:pPr>
        <w:spacing w:after="140"/>
      </w:pPr>
      <w:r>
        <w:rPr>
          <w:rFonts w:ascii="Arial" w:hAnsi="Arial"/>
          <w:b/>
          <w:i w:val="0"/>
          <w:color w:val="0E7C78"/>
          <w:sz w:val="19"/>
        </w:rPr>
        <w:t xml:space="preserve">Orientierung: </w:t>
      </w:r>
      <w:r>
        <w:rPr>
          <w:rFonts w:ascii="Arial" w:hAnsi="Arial"/>
          <w:b w:val="0"/>
          <w:i/>
          <w:color w:val="5D6B6D"/>
          <w:sz w:val="19"/>
        </w:rPr>
        <w:t>Nur Angaben aufnehmen, die für Belastung, Ressourcen oder Behandlungsplanung bedeutsam sind.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Erwachsene: aktuell ausgeübter Beruf, Familienstand und Zahl der Kinder.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Kinder/Jugendliche: Lebenssituation, Schule/Kindergarten, Geschwisterposition und Betreuungspersonen.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Keine identifizierenden Namen von Personen, Arbeitgebern, Schulen oder Orten übernehmen.</w:t>
      </w:r>
    </w:p>
    <w:p>
      <w:pPr>
        <w:spacing w:before="80" w:after="40"/>
      </w:pPr>
      <w:r>
        <w:rPr>
          <w:rFonts w:ascii="Arial" w:hAnsi="Arial"/>
          <w:b/>
          <w:i w:val="0"/>
          <w:color w:val="163A3D"/>
          <w:sz w:val="19"/>
        </w:rPr>
        <w:t>Arbeitsnotizen / Formulierung: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pStyle w:val="Heading1"/>
        <w:pageBreakBefore w:val="0"/>
      </w:pPr>
      <w:r>
        <w:t>2. Symptomatik und psychischer Befund</w:t>
      </w:r>
    </w:p>
    <w:p>
      <w:pPr>
        <w:spacing w:after="140"/>
      </w:pPr>
      <w:r>
        <w:rPr>
          <w:rFonts w:ascii="Arial" w:hAnsi="Arial"/>
          <w:b/>
          <w:i w:val="0"/>
          <w:color w:val="0E7C78"/>
          <w:sz w:val="19"/>
        </w:rPr>
        <w:t xml:space="preserve">Orientierung: </w:t>
      </w:r>
      <w:r>
        <w:rPr>
          <w:rFonts w:ascii="Arial" w:hAnsi="Arial"/>
          <w:b w:val="0"/>
          <w:i/>
          <w:color w:val="5D6B6D"/>
          <w:sz w:val="19"/>
        </w:rPr>
        <w:t>Berichtete Beschwerden, eigene Beobachtung und Testergebnisse erkennbar voneinander trennen.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Art, Schwere, Beginn und Verlauf der Symptomatik sowie Beeinträchtigungen.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Kontakt, Interaktion, Erscheinungsbild und psychischer Befund.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Krankheitsverständnis und relevante Ergebnisse psychodiagnostischer Verfahren.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Risiko- und Ausschlussbefunde nur auf Grundlage eigener Erhebung dokumentieren.</w:t>
      </w:r>
    </w:p>
    <w:p>
      <w:pPr>
        <w:spacing w:before="80" w:after="40"/>
      </w:pPr>
      <w:r>
        <w:rPr>
          <w:rFonts w:ascii="Arial" w:hAnsi="Arial"/>
          <w:b/>
          <w:i w:val="0"/>
          <w:color w:val="163A3D"/>
          <w:sz w:val="19"/>
        </w:rPr>
        <w:t>Arbeitsnotizen / Formulierung: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pStyle w:val="Heading1"/>
        <w:pageBreakBefore w:val="0"/>
      </w:pPr>
      <w:r>
        <w:t>3. Somatischer Befund / Konsiliarbericht</w:t>
      </w:r>
    </w:p>
    <w:p>
      <w:pPr>
        <w:spacing w:after="140"/>
      </w:pPr>
      <w:r>
        <w:rPr>
          <w:rFonts w:ascii="Arial" w:hAnsi="Arial"/>
          <w:b/>
          <w:i w:val="0"/>
          <w:color w:val="0E7C78"/>
          <w:sz w:val="19"/>
        </w:rPr>
        <w:t xml:space="preserve">Orientierung: </w:t>
      </w:r>
      <w:r>
        <w:rPr>
          <w:rFonts w:ascii="Arial" w:hAnsi="Arial"/>
          <w:b w:val="0"/>
          <w:i/>
          <w:color w:val="5D6B6D"/>
          <w:sz w:val="19"/>
        </w:rPr>
        <w:t>Behandlungsrelevante somatische Befunde und Vorbehandlungen knapp zusammenfassen.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Somatische Befunde einschließlich relevanten Suchtmittelkonsums.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Aktuelle psychopharmakologische Medikation.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Psychotherapeutische, psychosomatische oder psychiatrische Vorbehandlungen.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Erforderliche Konsiliar- und Befundberichte als Anlagen prüfen.</w:t>
      </w:r>
    </w:p>
    <w:p>
      <w:pPr>
        <w:spacing w:before="80" w:after="40"/>
      </w:pPr>
      <w:r>
        <w:rPr>
          <w:rFonts w:ascii="Arial" w:hAnsi="Arial"/>
          <w:b/>
          <w:i w:val="0"/>
          <w:color w:val="163A3D"/>
          <w:sz w:val="19"/>
        </w:rPr>
        <w:t>Arbeitsnotizen / Formulierung: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pStyle w:val="Heading1"/>
        <w:pageBreakBefore/>
      </w:pPr>
      <w:r>
        <w:t>4. Lebensgeschichte, Krankheitsanamnese und Erklärungsmodell</w:t>
      </w:r>
    </w:p>
    <w:p>
      <w:pPr>
        <w:spacing w:after="140"/>
      </w:pPr>
      <w:r>
        <w:rPr>
          <w:rFonts w:ascii="Arial" w:hAnsi="Arial"/>
          <w:b/>
          <w:i w:val="0"/>
          <w:color w:val="0E7C78"/>
          <w:sz w:val="19"/>
        </w:rPr>
        <w:t xml:space="preserve">Orientierung: </w:t>
      </w:r>
      <w:r>
        <w:rPr>
          <w:rFonts w:ascii="Arial" w:hAnsi="Arial"/>
          <w:b w:val="0"/>
          <w:i/>
          <w:color w:val="5D6B6D"/>
          <w:sz w:val="19"/>
        </w:rPr>
        <w:t>Biografische Fakten und verfahrensspezifische Fallkonzeption getrennt erkennbar, aber logisch verknüpft darstellen.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VT: prädisponierende, auslösende und aufrechterhaltende Bedingungen; Makro- und relevante Mikroanalyse.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TP/AP: auslösende Situation, Konflikt, Struktur, Abwehr und dysfunktionale Beziehungsmuster.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ST: Interaktions- und Kommunikationsmuster, Bedeutungsgebungen, Lösungsversuche und Ressourcen.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Nur Lebensgeschichte aufnehmen, die das Erklärungsmodell tatsächlich trägt.</w:t>
      </w:r>
    </w:p>
    <w:p>
      <w:pPr>
        <w:spacing w:before="80" w:after="40"/>
      </w:pPr>
      <w:r>
        <w:rPr>
          <w:rFonts w:ascii="Arial" w:hAnsi="Arial"/>
          <w:b/>
          <w:i w:val="0"/>
          <w:color w:val="163A3D"/>
          <w:sz w:val="19"/>
        </w:rPr>
        <w:t>Arbeitsnotizen / Formulierung: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pStyle w:val="Heading1"/>
        <w:pageBreakBefore w:val="0"/>
      </w:pPr>
      <w:r>
        <w:t>5. Diagnose zum Zeitpunkt der Antragstellung</w:t>
      </w:r>
    </w:p>
    <w:p>
      <w:pPr>
        <w:spacing w:after="140"/>
      </w:pPr>
      <w:r>
        <w:rPr>
          <w:rFonts w:ascii="Arial" w:hAnsi="Arial"/>
          <w:b/>
          <w:i w:val="0"/>
          <w:color w:val="0E7C78"/>
          <w:sz w:val="19"/>
        </w:rPr>
        <w:t xml:space="preserve">Orientierung: </w:t>
      </w:r>
      <w:r>
        <w:rPr>
          <w:rFonts w:ascii="Arial" w:hAnsi="Arial"/>
          <w:b w:val="0"/>
          <w:i/>
          <w:color w:val="5D6B6D"/>
          <w:sz w:val="19"/>
        </w:rPr>
        <w:t>Diagnose aus Symptomatik, Befund, Diagnostik und differenzialdiagnostischen Überlegungen ableiten.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ICD-10-Diagnose mit Diagnosesicherheit.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Erforderliche differenzialdiagnostische Überlegungen und relevante Komorbiditäten.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TP/AP: psychodynamische beziehungsweise neurosenpsychologische Diagnose ergänzen.</w:t>
      </w:r>
    </w:p>
    <w:p>
      <w:pPr>
        <w:spacing w:before="80" w:after="40"/>
      </w:pPr>
      <w:r>
        <w:rPr>
          <w:rFonts w:ascii="Arial" w:hAnsi="Arial"/>
          <w:b/>
          <w:i w:val="0"/>
          <w:color w:val="163A3D"/>
          <w:sz w:val="19"/>
        </w:rPr>
        <w:t>Arbeitsnotizen / Formulierung: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pStyle w:val="Heading1"/>
        <w:pageBreakBefore w:val="0"/>
      </w:pPr>
      <w:r>
        <w:t>6. Behandlungsplan und Prognose</w:t>
      </w:r>
    </w:p>
    <w:p>
      <w:pPr>
        <w:spacing w:after="140"/>
      </w:pPr>
      <w:r>
        <w:rPr>
          <w:rFonts w:ascii="Arial" w:hAnsi="Arial"/>
          <w:b/>
          <w:i w:val="0"/>
          <w:color w:val="0E7C78"/>
          <w:sz w:val="19"/>
        </w:rPr>
        <w:t xml:space="preserve">Orientierung: </w:t>
      </w:r>
      <w:r>
        <w:rPr>
          <w:rFonts w:ascii="Arial" w:hAnsi="Arial"/>
          <w:b w:val="0"/>
          <w:i/>
          <w:color w:val="5D6B6D"/>
          <w:sz w:val="19"/>
        </w:rPr>
        <w:t>Ziele, Methoden, Setting, Umfang und Prognose nachvollziehbar aus der Fallkonzeption ableiten.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Konkrete, reflektierte Therapieziele und individueller krankheitsbezogener Behandlungsplan.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Geplante Techniken und Methoden mit erkennbarem Zielbezug.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Begründung von Setting, Sitzungszahl und Frequenz; gegebenenfalls Bezugspersonen und Kooperationen.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Prognose mit günstigen Faktoren sowie inneren und äußeren Veränderungshindernissen.</w:t>
      </w:r>
    </w:p>
    <w:p>
      <w:pPr>
        <w:spacing w:before="80" w:after="40"/>
      </w:pPr>
      <w:r>
        <w:rPr>
          <w:rFonts w:ascii="Arial" w:hAnsi="Arial"/>
          <w:b/>
          <w:i w:val="0"/>
          <w:color w:val="163A3D"/>
          <w:sz w:val="19"/>
        </w:rPr>
        <w:t>Arbeitsnotizen / Formulierung: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pStyle w:val="Heading1"/>
        <w:pageBreakBefore w:val="0"/>
      </w:pPr>
      <w:r>
        <w:t>7. Nur bei Umwandlung: bisheriger Verlauf und Begründung</w:t>
      </w:r>
    </w:p>
    <w:p>
      <w:pPr>
        <w:spacing w:after="140"/>
      </w:pPr>
      <w:r>
        <w:rPr>
          <w:rFonts w:ascii="Arial" w:hAnsi="Arial"/>
          <w:b/>
          <w:i w:val="0"/>
          <w:color w:val="0E7C78"/>
          <w:sz w:val="19"/>
        </w:rPr>
        <w:t xml:space="preserve">Orientierung: </w:t>
      </w:r>
      <w:r>
        <w:rPr>
          <w:rFonts w:ascii="Arial" w:hAnsi="Arial"/>
          <w:b w:val="0"/>
          <w:i/>
          <w:color w:val="5D6B6D"/>
          <w:sz w:val="19"/>
        </w:rPr>
        <w:t>Nicht die Sitzungen chronologisch wiederholen, sondern Veränderung, offene Ziele und zusätzlichen Bedarf begründen.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Bisheriger Behandlungsverlauf und Veränderung der Symptomatik.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Erreichte, teilweise erreichte und nicht erreichte Therapieziele.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Begründung der Notwendigkeit der Umwandlung in Langzeittherapie.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19"/>
        </w:rPr>
        <w:t>Weitere relevante Ergebnisse psychodiagnostischer Testverfahren.</w:t>
      </w:r>
    </w:p>
    <w:p>
      <w:pPr>
        <w:spacing w:before="80" w:after="40"/>
      </w:pPr>
      <w:r>
        <w:rPr>
          <w:rFonts w:ascii="Arial" w:hAnsi="Arial"/>
          <w:b/>
          <w:i w:val="0"/>
          <w:color w:val="163A3D"/>
          <w:sz w:val="19"/>
        </w:rPr>
        <w:t>Arbeitsnotizen / Formulierung: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Fortführungsbericht: eigene Drei-Punkte-Struktur</w:t>
      </w:r>
    </w:p>
    <w:p>
      <w:r>
        <w:rPr>
          <w:rFonts w:ascii="Arial" w:hAnsi="Arial"/>
          <w:b/>
          <w:i w:val="0"/>
          <w:color w:val="213336"/>
          <w:sz w:val="21"/>
        </w:rPr>
        <w:t>Fortführungsberichte verwenden nicht erneut die sechs beziehungsweise sieben Punkte des Erst- oder Umwandlungsberichts.</w:t>
      </w:r>
    </w:p>
    <w:p>
      <w:pPr>
        <w:pStyle w:val="Heading2"/>
      </w:pPr>
      <w:r>
        <w:t>1. Verlauf und Ergebnis seit dem letzten Bericht</w:t>
      </w:r>
    </w:p>
    <w:p>
      <w:pPr>
        <w:spacing w:after="60"/>
      </w:pPr>
      <w:r>
        <w:t>Veränderung der Symptomatik sowie erreichte und nicht erreichte Ziele.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pStyle w:val="Heading2"/>
      </w:pPr>
      <w:r>
        <w:t>2. Aktuelle Diagnosen und psychischer Befund</w:t>
      </w:r>
    </w:p>
    <w:p>
      <w:pPr>
        <w:spacing w:after="60"/>
      </w:pPr>
      <w:r>
        <w:t>Aktuelle ICD-10-Diagnosen, Befund und relevante psychodiagnostische Ergebnisse.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pStyle w:val="Heading2"/>
      </w:pPr>
      <w:r>
        <w:t>3. Begründung und weitere Planung</w:t>
      </w:r>
    </w:p>
    <w:p>
      <w:pPr>
        <w:spacing w:after="60"/>
      </w:pPr>
      <w:r>
        <w:t>Fortführungsbedarf, angepasste Ziele und Methoden, Prognose, Abschlussplanung und gegebenenfalls anschließende Maßnahmen.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pPr>
        <w:spacing w:after="40" w:line="240" w:lineRule="auto"/>
      </w:pPr>
      <w:r>
        <w:rPr>
          <w:rFonts w:ascii="Arial" w:hAnsi="Arial"/>
          <w:b w:val="0"/>
          <w:i w:val="0"/>
          <w:color w:val="AEB8BA"/>
          <w:sz w:val="18"/>
        </w:rPr>
        <w:t>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Prüfliste vor der Freigabe</w:t>
      </w:r>
    </w:p>
    <w:p>
      <w:pPr>
        <w:spacing w:after="140"/>
      </w:pPr>
      <w:r>
        <w:rPr>
          <w:rFonts w:ascii="Arial" w:hAnsi="Arial"/>
          <w:b/>
          <w:i w:val="0"/>
          <w:color w:val="0E7C78"/>
          <w:sz w:val="18"/>
        </w:rPr>
        <w:t xml:space="preserve">PTV-8-Hinweis: </w:t>
      </w:r>
      <w:r>
        <w:rPr>
          <w:rFonts w:ascii="Arial" w:hAnsi="Arial"/>
          <w:b w:val="0"/>
          <w:i w:val="0"/>
          <w:color w:val="213336"/>
          <w:sz w:val="18"/>
        </w:rPr>
        <w:t>Den Versandcheck nur anwenden, wenn tatsächlich ein Gutachterverfahren erfolgt. Bei Fortführungs- und Kurzzeittherapieanträgen sind Bericht und PTV 8 erst erforderlich, wenn die Krankenkasse eine Gutachterin oder einen Gutachter einschaltet und den Bericht anfordert.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20"/>
        </w:rPr>
        <w:t>[ ] Jeder Absatz ist für Diagnose, Fallkonzeption oder Behandlung relevant.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20"/>
        </w:rPr>
        <w:t>[ ] Berichtete Angaben, eigene Beobachtung, Tests und Fremdbefunde sind unterscheidbar.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20"/>
        </w:rPr>
        <w:t>[ ] Symptomatik, Diagnose, Erklärungsmodell, Ziele, Methoden, Umfang und Prognose bilden einen roten Faden.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20"/>
        </w:rPr>
        <w:t>[ ] Der Behandlungsplan ist individuell und nicht als lehrbuchhafte Methodenliste formuliert.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20"/>
        </w:rPr>
        <w:t>[ ] Der Bericht und alle Anlagen sind durchgängig pseudonymisiert.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20"/>
        </w:rPr>
        <w:t>[ ] Falls ein Gutachterverfahren erfolgt: PTV-8-Inhalt und zusätzliche PTV-2-Kopie außerhalb des Umschlags sind geprüft.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20"/>
        </w:rPr>
        <w:t>[ ] Datum und Unterschrift sind vorhanden.</w:t>
      </w:r>
    </w:p>
    <w:p>
      <w:pPr>
        <w:pStyle w:val="ListBullet"/>
      </w:pPr>
      <w:r>
        <w:rPr>
          <w:rFonts w:ascii="Arial" w:hAnsi="Arial"/>
          <w:b w:val="0"/>
          <w:i w:val="0"/>
          <w:color w:val="213336"/>
          <w:sz w:val="20"/>
        </w:rPr>
        <w:t>[ ] Der Bericht wurde vollständig fachlich geprüft und persönlich freigegeben.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6"/>
            <w:shd w:fill="F7F2E8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r>
              <w:rPr>
                <w:rFonts w:ascii="Arial" w:hAnsi="Arial"/>
                <w:b/>
                <w:i w:val="0"/>
                <w:color w:val="163A3D"/>
                <w:sz w:val="22"/>
              </w:rPr>
              <w:t>Berichte beginnen nicht mehr mit einem leeren Blatt.</w:t>
            </w:r>
          </w:p>
          <w:p>
            <w:r>
              <w:rPr>
                <w:rFonts w:ascii="Arial" w:hAnsi="Arial"/>
                <w:b w:val="0"/>
                <w:i w:val="0"/>
                <w:color w:val="213336"/>
                <w:sz w:val="19"/>
              </w:rPr>
              <w:t xml:space="preserve">Clara verbindet ausgewählte Sitzungsnotizen, Patientenprofil und Unterlagen zu einem prüfbaren PTV-3-Berichtsentwurf mit Quellenzuordnung, Prüfhinweisen sowie Word- und PDF-Export. Mehr erfahren: </w:t>
            </w:r>
            <w:hyperlink r:id="rId11">
              <w:r>
                <w:rPr>
                  <w:rFonts w:ascii="Arial" w:hAnsi="Arial"/>
                  <w:color w:val="0E7C78"/>
                  <w:sz w:val="19"/>
                  <w:b/>
                  <w:u w:val="single"/>
                </w:rPr>
                <w:t>clarahealth.de/bericht-an-den-gutachter</w:t>
              </w:r>
            </w:hyperlink>
          </w:p>
        </w:tc>
        <w:trPr>
          <w:tblHeader/>
        </w:trPr>
      </w:tr>
    </w:tbl>
    <w:p>
      <w:pPr>
        <w:spacing w:before="140" w:after="0"/>
      </w:pPr>
      <w:r>
        <w:rPr>
          <w:rFonts w:ascii="Arial" w:hAnsi="Arial"/>
          <w:b w:val="0"/>
          <w:i w:val="0"/>
          <w:color w:val="5D6B6D"/>
          <w:sz w:val="16"/>
        </w:rPr>
        <w:t xml:space="preserve">Stand: 21. Juli 2026. Offizielle Grundlagen: </w:t>
      </w:r>
      <w:hyperlink r:id="rId12">
        <w:r>
          <w:rPr>
            <w:rFonts w:ascii="Arial" w:hAnsi="Arial"/>
            <w:color w:val="0E7C78"/>
            <w:sz w:val="16"/>
            <w:u w:val="single"/>
          </w:rPr>
          <w:t>KBV-Leitfaden PTV 3</w:t>
        </w:r>
      </w:hyperlink>
      <w:r>
        <w:rPr>
          <w:rFonts w:ascii="Arial" w:hAnsi="Arial"/>
          <w:b w:val="0"/>
          <w:i w:val="0"/>
          <w:color w:val="5D6B6D"/>
          <w:sz w:val="16"/>
        </w:rPr>
        <w:t xml:space="preserve"> und </w:t>
      </w:r>
      <w:hyperlink r:id="rId13">
        <w:r>
          <w:rPr>
            <w:rFonts w:ascii="Arial" w:hAnsi="Arial"/>
            <w:color w:val="0E7C78"/>
            <w:sz w:val="16"/>
            <w:u w:val="single"/>
          </w:rPr>
          <w:t>KBV-Ausfüllhilfen Psychotherapie</w:t>
        </w:r>
      </w:hyperlink>
      <w:r>
        <w:rPr>
          <w:rFonts w:ascii="Arial" w:hAnsi="Arial"/>
          <w:b w:val="0"/>
          <w:i w:val="0"/>
          <w:color w:val="5D6B6D"/>
          <w:sz w:val="16"/>
        </w:rPr>
        <w:t>. Maßgeblich sind die jeweils aktuellen Originalquellen.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1020" w:left="1020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b w:val="0"/>
        <w:i w:val="0"/>
        <w:color w:val="5D6B6D"/>
        <w:sz w:val="17"/>
      </w:rPr>
      <w:t>clarahealth.de/bericht-an-den-gutachter  |  Arbeitshilfe, kein KBV-Formblatt</w:t>
    </w:r>
  </w:p>
  <w:p>
    <w:pPr>
      <w:jc w:val="right"/>
    </w:pPr>
    <w:r>
      <w:rPr>
        <w:rFonts w:ascii="Arial" w:hAnsi="Arial"/>
        <w:b w:val="0"/>
        <w:i w:val="0"/>
        <w:color w:val="5D6B6D"/>
        <w:sz w:val="17"/>
      </w:rPr>
      <w:t xml:space="preserve">Seite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rial" w:hAnsi="Arial"/>
        <w:b/>
        <w:i w:val="0"/>
        <w:color w:val="5D6B6D"/>
        <w:sz w:val="17"/>
      </w:rPr>
      <w:t>CLARA HEALTH  |  PTV-3-ARBEITSHILFE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83" w:lineRule="auto"/>
    </w:pPr>
    <w:rPr>
      <w:rFonts w:ascii="Arial" w:hAnsi="Arial"/>
      <w:color w:val="213336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0E7C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0E7C7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163A3D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283" w:lineRule="auto"/>
      <w:ind w:left="539" w:hanging="272"/>
      <w:contextualSpacing/>
    </w:pPr>
    <w:rPr>
      <w:rFonts w:ascii="Arial" w:hAnsi="Arial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283" w:lineRule="auto"/>
      <w:ind w:left="539" w:hanging="272"/>
      <w:contextualSpacing/>
    </w:pPr>
    <w:rPr>
      <w:rFonts w:ascii="Arial" w:hAnsi="Arial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clarahealth.de/bericht-an-den-gutachter" TargetMode="External"/><Relationship Id="rId12" Type="http://schemas.openxmlformats.org/officeDocument/2006/relationships/hyperlink" Target="https://update.kbv.de/ita-update/Abrechnung/EXT_ITA_AHEX_PTV3.pdf" TargetMode="External"/><Relationship Id="rId13" Type="http://schemas.openxmlformats.org/officeDocument/2006/relationships/hyperlink" Target="https://www.kbv.de/documents/infothek/rechtsquellen/psychotherapie/ptv-ausfuellhilf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PTV-3-Arbeitsvorlage - Clara Health</dc:title>
  <dc:subject>Arbeitshilfe für Berichte an die Gutachterin oder den Gutachter</dc:subject>
  <dc:creator>Clara Health Redaktion</dc:creator>
  <cp:keywords>PTV 3, Bericht an den Gutachter, Psychotherapie, Vorlage</cp:keywords>
  <dc:description>generated by python-docx</dc:description>
  <cp:lastModifiedBy/>
  <cp:revision>1</cp:revision>
  <dcterms:created xsi:type="dcterms:W3CDTF">2026-07-21T00:00:00Z</dcterms:created>
  <dcterms:modified xsi:type="dcterms:W3CDTF">2013-12-23T23:15:00Z</dcterms:modified>
  <cp:category/>
</cp:coreProperties>
</file>